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DB6FB2" w14:paraId="1CDB310E" w14:textId="77777777" w:rsidTr="007C7697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0AC6149" w14:textId="093C9B83" w:rsidR="00DB6FB2" w:rsidRPr="00DB6FB2" w:rsidRDefault="00DB6FB2" w:rsidP="00DB6FB2">
            <w:pPr>
              <w:tabs>
                <w:tab w:val="left" w:pos="1134"/>
              </w:tabs>
              <w:jc w:val="both"/>
              <w:rPr>
                <w:rFonts w:ascii="Sylfaen" w:hAnsi="Sylfaen"/>
                <w:b w:val="0"/>
                <w:bCs w:val="0"/>
                <w:sz w:val="28"/>
                <w:szCs w:val="28"/>
              </w:rPr>
            </w:pPr>
            <w:r w:rsidRPr="001A459C">
              <w:rPr>
                <w:b w:val="0"/>
                <w:bCs w:val="0"/>
                <w:lang w:val="en-US"/>
              </w:rPr>
              <w:t>დასაქმებული მოწყვლადი ჯგუფების ქალების რაოდენობის ზრდა.</w:t>
            </w:r>
            <w:r w:rsidR="00D50946">
              <w:rPr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3400" w:type="dxa"/>
            <w:vAlign w:val="center"/>
          </w:tcPr>
          <w:p w14:paraId="601CF227" w14:textId="261853F4" w:rsidR="00DB6FB2" w:rsidRPr="00DB6FB2" w:rsidRDefault="00DB6FB2" w:rsidP="00DB6FB2">
            <w:pPr>
              <w:tabs>
                <w:tab w:val="left" w:pos="11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 w:rsidRPr="001A459C">
              <w:rPr>
                <w:lang w:val="en-US"/>
              </w:rPr>
              <w:t xml:space="preserve">დასაქმებული ქალების რაოდენობა (წლიური ზრდა </w:t>
            </w:r>
            <w:r w:rsidRPr="00DB6FB2">
              <w:rPr>
                <w:lang w:val="en-US"/>
              </w:rPr>
              <w:t>5</w:t>
            </w:r>
            <w:r w:rsidRPr="001A459C">
              <w:rPr>
                <w:lang w:val="en-US"/>
              </w:rPr>
              <w:t>%) და დაყოფა მოწყვლადი ჯგუფების მიხედვით.</w:t>
            </w:r>
          </w:p>
        </w:tc>
        <w:tc>
          <w:tcPr>
            <w:tcW w:w="3681" w:type="dxa"/>
            <w:vAlign w:val="center"/>
          </w:tcPr>
          <w:p w14:paraId="5182AAB1" w14:textId="5B09E80E" w:rsidR="00DB6FB2" w:rsidRPr="00DB6FB2" w:rsidRDefault="00DB6FB2" w:rsidP="00DB6FB2">
            <w:pPr>
              <w:tabs>
                <w:tab w:val="left" w:pos="11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 w:rsidRPr="001A459C">
              <w:rPr>
                <w:lang w:val="en-US"/>
              </w:rPr>
              <w:t>საწარმოს შიდა მონაცემები, დასაქმების ანგარიშები, შრომითი ხელშეკრულებები.</w:t>
            </w:r>
          </w:p>
        </w:tc>
      </w:tr>
      <w:tr w:rsidR="00DB6FB2" w14:paraId="632F55D6" w14:textId="77777777" w:rsidTr="0043519E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77F1485" w14:textId="7526B00D" w:rsidR="00DB6FB2" w:rsidRPr="00DB6FB2" w:rsidRDefault="00DB6FB2" w:rsidP="00DB6FB2">
            <w:pPr>
              <w:tabs>
                <w:tab w:val="left" w:pos="1134"/>
              </w:tabs>
              <w:jc w:val="both"/>
              <w:rPr>
                <w:rFonts w:ascii="Sylfaen" w:hAnsi="Sylfaen"/>
                <w:b w:val="0"/>
                <w:bCs w:val="0"/>
                <w:sz w:val="28"/>
                <w:szCs w:val="28"/>
              </w:rPr>
            </w:pPr>
            <w:r w:rsidRPr="001A459C">
              <w:rPr>
                <w:b w:val="0"/>
                <w:bCs w:val="0"/>
                <w:lang w:val="en-US"/>
              </w:rPr>
              <w:t>დასაქმებული ქალების ეკონომიკური მდგომარეობის გაუმჯობესება.</w:t>
            </w:r>
          </w:p>
        </w:tc>
        <w:tc>
          <w:tcPr>
            <w:tcW w:w="3400" w:type="dxa"/>
            <w:vAlign w:val="center"/>
          </w:tcPr>
          <w:p w14:paraId="214302DE" w14:textId="01FD19E2" w:rsidR="00DB6FB2" w:rsidRPr="00DB6FB2" w:rsidRDefault="00DB6FB2" w:rsidP="00DB6FB2">
            <w:pPr>
              <w:tabs>
                <w:tab w:val="left" w:pos="11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 w:rsidRPr="001A459C">
              <w:rPr>
                <w:lang w:val="en-US"/>
              </w:rPr>
              <w:t>საშუალო ხელფასის ზრდა (</w:t>
            </w:r>
            <w:r w:rsidR="00D50946">
              <w:rPr>
                <w:lang w:val="en-US"/>
              </w:rPr>
              <w:t>7</w:t>
            </w:r>
            <w:r w:rsidRPr="001A459C">
              <w:rPr>
                <w:lang w:val="en-US"/>
              </w:rPr>
              <w:t>%), შემოსავლის ზრდის დინამიკა (</w:t>
            </w:r>
            <w:r w:rsidR="00D50946">
              <w:rPr>
                <w:lang w:val="en-US"/>
              </w:rPr>
              <w:t>8</w:t>
            </w:r>
            <w:r w:rsidRPr="001A459C">
              <w:rPr>
                <w:lang w:val="en-US"/>
              </w:rPr>
              <w:t>%), დასაქმებულთა კმაყოფილების ინდექსი ფინანსური სტაბილურობის მიმართ.</w:t>
            </w:r>
          </w:p>
        </w:tc>
        <w:tc>
          <w:tcPr>
            <w:tcW w:w="3681" w:type="dxa"/>
            <w:vAlign w:val="center"/>
          </w:tcPr>
          <w:p w14:paraId="22D1BC3E" w14:textId="7C1186E0" w:rsidR="00DB6FB2" w:rsidRPr="00DB6FB2" w:rsidRDefault="00DB6FB2" w:rsidP="00DB6FB2">
            <w:pPr>
              <w:tabs>
                <w:tab w:val="left" w:pos="11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 w:rsidRPr="001A459C">
              <w:rPr>
                <w:lang w:val="en-US"/>
              </w:rPr>
              <w:t>ხელფასების სტატისტიკა, გამოკითხვები დასაქმებულთა შორის (ანონიმური), ფინანსური ანგარიშები.</w:t>
            </w:r>
          </w:p>
        </w:tc>
      </w:tr>
      <w:tr w:rsidR="00DB6FB2" w14:paraId="2360A3A4" w14:textId="77777777" w:rsidTr="001768D7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559DA816" w14:textId="7798CBC0" w:rsidR="00DB6FB2" w:rsidRPr="00DB6FB2" w:rsidRDefault="00DB6FB2" w:rsidP="00DB6FB2">
            <w:pPr>
              <w:tabs>
                <w:tab w:val="left" w:pos="1134"/>
              </w:tabs>
              <w:jc w:val="both"/>
              <w:rPr>
                <w:rFonts w:ascii="Sylfaen" w:hAnsi="Sylfaen"/>
                <w:b w:val="0"/>
                <w:bCs w:val="0"/>
                <w:sz w:val="28"/>
                <w:szCs w:val="28"/>
              </w:rPr>
            </w:pPr>
            <w:r w:rsidRPr="001A459C">
              <w:rPr>
                <w:b w:val="0"/>
                <w:bCs w:val="0"/>
                <w:lang w:val="en-US"/>
              </w:rPr>
              <w:t>სოციალური პასუხისმგებლობის პოპულარიზაცია საზოგადოებაში.</w:t>
            </w:r>
          </w:p>
        </w:tc>
        <w:tc>
          <w:tcPr>
            <w:tcW w:w="3400" w:type="dxa"/>
            <w:vAlign w:val="center"/>
          </w:tcPr>
          <w:p w14:paraId="1C464416" w14:textId="48681DBB" w:rsidR="00DB6FB2" w:rsidRPr="00DB6FB2" w:rsidRDefault="00DB6FB2" w:rsidP="00D50946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 w:rsidRPr="001A459C">
              <w:rPr>
                <w:lang w:val="en-US"/>
              </w:rPr>
              <w:t>სოციალური მეწარმეობის შესახებ ცნობადობის ზრდა (</w:t>
            </w:r>
            <w:r w:rsidR="00D50946">
              <w:rPr>
                <w:lang w:val="en-US"/>
              </w:rPr>
              <w:t>30</w:t>
            </w:r>
            <w:r w:rsidRPr="001A459C">
              <w:rPr>
                <w:lang w:val="en-US"/>
              </w:rPr>
              <w:t>%), სხვა კომპანიების სოციალური ინიციატივების რაოდენობა (</w:t>
            </w:r>
            <w:r w:rsidR="00D50946">
              <w:rPr>
                <w:lang w:val="en-US"/>
              </w:rPr>
              <w:t>15</w:t>
            </w:r>
            <w:r w:rsidRPr="001A459C">
              <w:rPr>
                <w:lang w:val="en-US"/>
              </w:rPr>
              <w:t>%), საზოგადოებრივი აზრის ცვლილების ინდექსი.</w:t>
            </w:r>
          </w:p>
        </w:tc>
        <w:tc>
          <w:tcPr>
            <w:tcW w:w="3681" w:type="dxa"/>
            <w:vAlign w:val="center"/>
          </w:tcPr>
          <w:p w14:paraId="4EAECFA4" w14:textId="5652B7BC" w:rsidR="00DB6FB2" w:rsidRPr="00DB6FB2" w:rsidRDefault="00DB6FB2" w:rsidP="00DB6FB2">
            <w:pPr>
              <w:tabs>
                <w:tab w:val="left" w:pos="11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 w:rsidRPr="001A459C">
              <w:rPr>
                <w:lang w:val="en-US"/>
              </w:rPr>
              <w:t>მედია მონიტორინგი, სოციალური ქსელების ანალიზი, გამოკითხვები (საზოგადოებრივი აზრის კვლევა), ინტერვიუები ექსპერტებთან.</w:t>
            </w:r>
          </w:p>
        </w:tc>
      </w:tr>
      <w:tr w:rsidR="00DB6FB2" w14:paraId="068066E1" w14:textId="77777777" w:rsidTr="001768D7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AA67FEB" w14:textId="3E5F87A8" w:rsidR="00DB6FB2" w:rsidRPr="00DB6FB2" w:rsidRDefault="00DB6FB2" w:rsidP="00DB6FB2">
            <w:pPr>
              <w:tabs>
                <w:tab w:val="left" w:pos="1134"/>
              </w:tabs>
              <w:jc w:val="both"/>
              <w:rPr>
                <w:rFonts w:ascii="Sylfaen" w:hAnsi="Sylfaen"/>
                <w:b w:val="0"/>
                <w:bCs w:val="0"/>
                <w:sz w:val="28"/>
                <w:szCs w:val="28"/>
              </w:rPr>
            </w:pPr>
            <w:r w:rsidRPr="001A459C">
              <w:rPr>
                <w:b w:val="0"/>
                <w:bCs w:val="0"/>
                <w:lang w:val="en-US"/>
              </w:rPr>
              <w:t>დასაქმებული ქალების სოციალური ინტეგრაციის გაძლიერება.</w:t>
            </w:r>
          </w:p>
        </w:tc>
        <w:tc>
          <w:tcPr>
            <w:tcW w:w="3400" w:type="dxa"/>
            <w:vAlign w:val="center"/>
          </w:tcPr>
          <w:p w14:paraId="7086490A" w14:textId="71E40222" w:rsidR="00DB6FB2" w:rsidRPr="00DB6FB2" w:rsidRDefault="00DB6FB2" w:rsidP="00D50946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 w:rsidRPr="001A459C">
              <w:rPr>
                <w:lang w:val="en-US"/>
              </w:rPr>
              <w:t>სოციალურ აქტივობებში მონაწილეობის სიხშირე, სოციალური კავშირების რაოდენობა და მრავალფეროვნება, სოციალური იზოლაციის შემცირების ინდექსი.</w:t>
            </w:r>
          </w:p>
        </w:tc>
        <w:tc>
          <w:tcPr>
            <w:tcW w:w="3681" w:type="dxa"/>
            <w:vAlign w:val="center"/>
          </w:tcPr>
          <w:p w14:paraId="6AACE956" w14:textId="5332C4D7" w:rsidR="00DB6FB2" w:rsidRPr="00DB6FB2" w:rsidRDefault="00DB6FB2" w:rsidP="00DB6FB2">
            <w:pPr>
              <w:tabs>
                <w:tab w:val="left" w:pos="11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 w:rsidRPr="001A459C">
              <w:rPr>
                <w:lang w:val="en-US"/>
              </w:rPr>
              <w:t>გამოკითხვები (სოციალური კავშირების ანალიზი), სოციალური ქსელების მონიტორინგი, ინტერვიუები (ღია კითხვები).</w:t>
            </w:r>
          </w:p>
        </w:tc>
      </w:tr>
    </w:tbl>
    <w:p w14:paraId="32B521EB" w14:textId="77777777" w:rsidR="00BC155F" w:rsidRDefault="00BC155F"/>
    <w:p w14:paraId="01089202" w14:textId="77777777" w:rsidR="00D50946" w:rsidRDefault="00D50946"/>
    <w:p w14:paraId="7068E682" w14:textId="77777777" w:rsidR="00D50946" w:rsidRDefault="00D50946"/>
    <w:p w14:paraId="0489F644" w14:textId="40D61824" w:rsidR="001A459C" w:rsidRDefault="001A459C">
      <w:r>
        <w:t>დამეხმარე ინდიკარები უკეთ შედგენაში:</w:t>
      </w:r>
    </w:p>
    <w:p w14:paraId="4B1BC82E" w14:textId="4BE0116B" w:rsidR="001A459C" w:rsidRDefault="001A459C">
      <w:r w:rsidRPr="00FB4731">
        <w:rPr>
          <w:rFonts w:ascii="Sylfaen" w:hAnsi="Sylfaen"/>
          <w:b/>
          <w:sz w:val="24"/>
        </w:rPr>
        <w:lastRenderedPageBreak/>
        <w:t>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 xml:space="preserve">.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805"/>
        <w:gridCol w:w="3664"/>
        <w:gridCol w:w="2703"/>
      </w:tblGrid>
      <w:tr w:rsidR="001A459C" w:rsidRPr="001A459C" w14:paraId="7BAC63CB" w14:textId="77777777" w:rsidTr="001A4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A750A" w14:textId="77777777" w:rsidR="001A459C" w:rsidRPr="001A459C" w:rsidRDefault="001A459C" w:rsidP="001A459C">
            <w:pPr>
              <w:rPr>
                <w:b/>
                <w:bCs/>
                <w:lang w:val="en-US"/>
              </w:rPr>
            </w:pPr>
            <w:r w:rsidRPr="001A459C">
              <w:rPr>
                <w:b/>
                <w:bCs/>
                <w:lang w:val="en-US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7218DEE4" w14:textId="77777777" w:rsidR="001A459C" w:rsidRPr="001A459C" w:rsidRDefault="001A459C" w:rsidP="001A459C">
            <w:pPr>
              <w:rPr>
                <w:b/>
                <w:bCs/>
                <w:lang w:val="en-US"/>
              </w:rPr>
            </w:pPr>
            <w:r w:rsidRPr="001A459C">
              <w:rPr>
                <w:b/>
                <w:bCs/>
                <w:lang w:val="en-US"/>
              </w:rPr>
              <w:t>მოსალოდნელი სოციალური შედეგ(ებ)ი</w:t>
            </w:r>
          </w:p>
        </w:tc>
        <w:tc>
          <w:tcPr>
            <w:tcW w:w="0" w:type="auto"/>
            <w:vAlign w:val="center"/>
            <w:hideMark/>
          </w:tcPr>
          <w:p w14:paraId="3F2BBE00" w14:textId="77777777" w:rsidR="001A459C" w:rsidRPr="001A459C" w:rsidRDefault="001A459C" w:rsidP="001A459C">
            <w:pPr>
              <w:rPr>
                <w:b/>
                <w:bCs/>
                <w:lang w:val="en-US"/>
              </w:rPr>
            </w:pPr>
            <w:r w:rsidRPr="001A459C">
              <w:rPr>
                <w:b/>
                <w:bCs/>
                <w:lang w:val="en-US"/>
              </w:rPr>
              <w:t>შედეგ(ებ)ის ინდიკატორი</w:t>
            </w:r>
          </w:p>
        </w:tc>
        <w:tc>
          <w:tcPr>
            <w:tcW w:w="0" w:type="auto"/>
            <w:vAlign w:val="center"/>
            <w:hideMark/>
          </w:tcPr>
          <w:p w14:paraId="0C24D281" w14:textId="77777777" w:rsidR="001A459C" w:rsidRPr="001A459C" w:rsidRDefault="001A459C" w:rsidP="001A459C">
            <w:pPr>
              <w:rPr>
                <w:b/>
                <w:bCs/>
                <w:lang w:val="en-US"/>
              </w:rPr>
            </w:pPr>
            <w:r w:rsidRPr="001A459C">
              <w:rPr>
                <w:b/>
                <w:bCs/>
                <w:lang w:val="en-US"/>
              </w:rPr>
              <w:t>ინდიკატორის შესახებ ინფორმაციის შეგროვების წყაროები</w:t>
            </w:r>
          </w:p>
        </w:tc>
      </w:tr>
      <w:tr w:rsidR="001A459C" w:rsidRPr="001A459C" w14:paraId="5EDD48F3" w14:textId="77777777" w:rsidTr="00DB6F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D6726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EACEC9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დასაქმებული მოწყვლადი ჯგუფების ქალების რაოდენობის ზრდა.</w:t>
            </w:r>
          </w:p>
        </w:tc>
        <w:tc>
          <w:tcPr>
            <w:tcW w:w="0" w:type="auto"/>
            <w:vAlign w:val="center"/>
            <w:hideMark/>
          </w:tcPr>
          <w:p w14:paraId="530BAE6A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დასაქმებული ქალების რაოდენობა (წლიური ზრდა).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22EF799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საწარმოს შიდა მონაცემები, დასაქმების ანგარიშები.</w:t>
            </w:r>
          </w:p>
        </w:tc>
      </w:tr>
      <w:tr w:rsidR="001A459C" w:rsidRPr="001A459C" w14:paraId="77BEBC12" w14:textId="77777777" w:rsidTr="001A4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47E19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A68489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დასაქმებული ქალების ეკონომიკური მდგომარეობის გაუმჯობესება.</w:t>
            </w:r>
          </w:p>
        </w:tc>
        <w:tc>
          <w:tcPr>
            <w:tcW w:w="0" w:type="auto"/>
            <w:vAlign w:val="center"/>
            <w:hideMark/>
          </w:tcPr>
          <w:p w14:paraId="6F37547B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საშუალო ხელფასის ზრდა, შემოსავლის ზრდის დინამიკა.</w:t>
            </w:r>
          </w:p>
        </w:tc>
        <w:tc>
          <w:tcPr>
            <w:tcW w:w="0" w:type="auto"/>
            <w:vAlign w:val="center"/>
            <w:hideMark/>
          </w:tcPr>
          <w:p w14:paraId="38B0F549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ხელფასების სტატისტიკა, გამოკითხვები დასაქმებულთა შორის.</w:t>
            </w:r>
          </w:p>
        </w:tc>
      </w:tr>
      <w:tr w:rsidR="001A459C" w:rsidRPr="001A459C" w14:paraId="2E3F828F" w14:textId="77777777" w:rsidTr="001A4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1F479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4CC290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დასაქმებული ქალების სოციალური ინტეგრაციის გაძლიერება.</w:t>
            </w:r>
          </w:p>
        </w:tc>
        <w:tc>
          <w:tcPr>
            <w:tcW w:w="0" w:type="auto"/>
            <w:vAlign w:val="center"/>
            <w:hideMark/>
          </w:tcPr>
          <w:p w14:paraId="07D0EADA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სოციალური აქტივობების მონაწილეობა, სოციალური კავშირების გაფართოება.</w:t>
            </w:r>
          </w:p>
        </w:tc>
        <w:tc>
          <w:tcPr>
            <w:tcW w:w="0" w:type="auto"/>
            <w:vAlign w:val="center"/>
            <w:hideMark/>
          </w:tcPr>
          <w:p w14:paraId="74CE6D2E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გამოკითხვები, სოციალური ქსელების მონიტორინგი, ინტერვიუები.</w:t>
            </w:r>
          </w:p>
        </w:tc>
      </w:tr>
      <w:tr w:rsidR="001A459C" w:rsidRPr="001A459C" w14:paraId="5D0C6A34" w14:textId="77777777" w:rsidTr="001A4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083BC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4AB0B1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ახალგაზრდა გოგონების პროფესიული განვითარების ხელშეწყობა.</w:t>
            </w:r>
          </w:p>
        </w:tc>
        <w:tc>
          <w:tcPr>
            <w:tcW w:w="0" w:type="auto"/>
            <w:vAlign w:val="center"/>
            <w:hideMark/>
          </w:tcPr>
          <w:p w14:paraId="526957A2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ტრენინგებსა და სტაჟირებებში მონაწილე გოგონების რაოდენობა, დასაქმების მაჩვენებელი.</w:t>
            </w:r>
          </w:p>
        </w:tc>
        <w:tc>
          <w:tcPr>
            <w:tcW w:w="0" w:type="auto"/>
            <w:vAlign w:val="center"/>
            <w:hideMark/>
          </w:tcPr>
          <w:p w14:paraId="2E53B9D2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საწარმოს შიდა მონაცემები, ტრენინგების ანგარიშები, დასაქმების სტატისტიკა.</w:t>
            </w:r>
          </w:p>
        </w:tc>
      </w:tr>
      <w:tr w:rsidR="001A459C" w:rsidRPr="001A459C" w14:paraId="446E68AB" w14:textId="77777777" w:rsidTr="001A4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34095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E158FD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ადგილობრივი ეკონომიკის განვითარებაში წვლილის შეტანა.</w:t>
            </w:r>
          </w:p>
        </w:tc>
        <w:tc>
          <w:tcPr>
            <w:tcW w:w="0" w:type="auto"/>
            <w:vAlign w:val="center"/>
            <w:hideMark/>
          </w:tcPr>
          <w:p w14:paraId="641FB8FA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ადგილობრივი მომწოდებლებისგან შესყიდვების მოცულობა, ადგილობრივი ბაზრის წილი.</w:t>
            </w:r>
          </w:p>
        </w:tc>
        <w:tc>
          <w:tcPr>
            <w:tcW w:w="0" w:type="auto"/>
            <w:vAlign w:val="center"/>
            <w:hideMark/>
          </w:tcPr>
          <w:p w14:paraId="30082B35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ფინანსური ანგარიშები, ბაზრის კვლევა.</w:t>
            </w:r>
          </w:p>
        </w:tc>
      </w:tr>
      <w:tr w:rsidR="001A459C" w:rsidRPr="001A459C" w14:paraId="2236D601" w14:textId="77777777" w:rsidTr="001A4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24ED9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87B5CD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სოციალური პასუხისმგებლობის პოპულარიზაცია საზოგადოებაში.</w:t>
            </w:r>
          </w:p>
        </w:tc>
        <w:tc>
          <w:tcPr>
            <w:tcW w:w="0" w:type="auto"/>
            <w:vAlign w:val="center"/>
            <w:hideMark/>
          </w:tcPr>
          <w:p w14:paraId="42561A37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სოციალური მეწარმეობის შესახებ ცნობადობის ზრდა, სხვა კომპანიების სოციალური ინიციატივების რაოდენობა.</w:t>
            </w:r>
          </w:p>
        </w:tc>
        <w:tc>
          <w:tcPr>
            <w:tcW w:w="0" w:type="auto"/>
            <w:vAlign w:val="center"/>
            <w:hideMark/>
          </w:tcPr>
          <w:p w14:paraId="7C389847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მედია მონიტორინგი, სოციალური ქსელების ანალიზი, გამოკითხვები.</w:t>
            </w:r>
          </w:p>
        </w:tc>
      </w:tr>
    </w:tbl>
    <w:p w14:paraId="118FD131" w14:textId="77777777" w:rsidR="001A459C" w:rsidRDefault="001A459C">
      <w:pPr>
        <w:rPr>
          <w:lang w:val="en-US"/>
        </w:rPr>
      </w:pPr>
    </w:p>
    <w:p w14:paraId="6402F201" w14:textId="77777777" w:rsidR="001A459C" w:rsidRDefault="001A459C">
      <w:pPr>
        <w:rPr>
          <w:lang w:val="en-US"/>
        </w:rPr>
      </w:pPr>
    </w:p>
    <w:p w14:paraId="2125F7C4" w14:textId="77777777" w:rsidR="001A459C" w:rsidRDefault="001A459C"/>
    <w:p w14:paraId="4AE64929" w14:textId="77777777" w:rsidR="001A459C" w:rsidRDefault="001A459C"/>
    <w:p w14:paraId="0CF8EF27" w14:textId="460723CC" w:rsidR="001A459C" w:rsidRDefault="001A459C">
      <w:r>
        <w:lastRenderedPageBreak/>
        <w:t>ქრომი</w:t>
      </w:r>
    </w:p>
    <w:p w14:paraId="476A05EC" w14:textId="77777777" w:rsidR="001A459C" w:rsidRPr="001A459C" w:rsidRDefault="001A459C" w:rsidP="001A459C">
      <w:pPr>
        <w:rPr>
          <w:lang w:val="en-US"/>
        </w:rPr>
      </w:pPr>
      <w:r w:rsidRPr="001A459C">
        <w:rPr>
          <w:b/>
          <w:bCs/>
          <w:lang w:val="en-US"/>
        </w:rPr>
        <w:t>დახვეწილი ვერსია: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2469"/>
        <w:gridCol w:w="3573"/>
        <w:gridCol w:w="3101"/>
      </w:tblGrid>
      <w:tr w:rsidR="00DB6FB2" w:rsidRPr="001A459C" w14:paraId="61474E93" w14:textId="77777777" w:rsidTr="00DB6FB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71FDC9" w14:textId="77777777" w:rsidR="001A459C" w:rsidRPr="001A459C" w:rsidRDefault="001A459C" w:rsidP="001A459C">
            <w:pPr>
              <w:rPr>
                <w:b/>
                <w:bCs/>
                <w:lang w:val="en-US"/>
              </w:rPr>
            </w:pPr>
            <w:r w:rsidRPr="001A459C">
              <w:rPr>
                <w:b/>
                <w:bCs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21D3B3" w14:textId="77777777" w:rsidR="001A459C" w:rsidRPr="001A459C" w:rsidRDefault="001A459C" w:rsidP="001A459C">
            <w:pPr>
              <w:rPr>
                <w:b/>
                <w:bCs/>
                <w:lang w:val="en-US"/>
              </w:rPr>
            </w:pPr>
            <w:r w:rsidRPr="001A459C">
              <w:rPr>
                <w:b/>
                <w:bCs/>
                <w:lang w:val="en-US"/>
              </w:rPr>
              <w:t>მოსალოდნელი სოციალური შედეგი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C33F09" w14:textId="77777777" w:rsidR="001A459C" w:rsidRPr="001A459C" w:rsidRDefault="001A459C" w:rsidP="001A459C">
            <w:pPr>
              <w:rPr>
                <w:b/>
                <w:bCs/>
                <w:lang w:val="en-US"/>
              </w:rPr>
            </w:pPr>
            <w:r w:rsidRPr="001A459C">
              <w:rPr>
                <w:b/>
                <w:bCs/>
                <w:lang w:val="en-US"/>
              </w:rPr>
              <w:t>შედეგის ინდიკატორი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62145" w14:textId="77777777" w:rsidR="001A459C" w:rsidRPr="001A459C" w:rsidRDefault="001A459C" w:rsidP="001A459C">
            <w:pPr>
              <w:rPr>
                <w:b/>
                <w:bCs/>
                <w:lang w:val="en-US"/>
              </w:rPr>
            </w:pPr>
            <w:r w:rsidRPr="001A459C">
              <w:rPr>
                <w:b/>
                <w:bCs/>
                <w:lang w:val="en-US"/>
              </w:rPr>
              <w:t>ინფორმაციის შეგროვების წყარო</w:t>
            </w:r>
          </w:p>
        </w:tc>
      </w:tr>
      <w:tr w:rsidR="00DB6FB2" w:rsidRPr="001A459C" w14:paraId="22729F5D" w14:textId="77777777" w:rsidTr="00DB6FB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79E36A5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183B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დასაქმებული მოწყვლადი ჯგუფების ქალების რაოდენობის ზრდა.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AE5636E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დასაქმებული ქალების რაოდენობა (წლიური ზრდა %) და დაყოფა მოწყვლადი ჯგუფების მიხედვით.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43E30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საწარმოს შიდა მონაცემები, დასაქმების ანგარიშები, შრომითი ხელშეკრულებები.</w:t>
            </w:r>
          </w:p>
        </w:tc>
      </w:tr>
      <w:tr w:rsidR="00DB6FB2" w:rsidRPr="001A459C" w14:paraId="5B189183" w14:textId="77777777" w:rsidTr="00DB6FB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2588A3B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BBABF0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დასაქმებული ქალების ეკონომიკური მდგომარეობის გაუმჯობესება.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BFD9FF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საშუალო ხელფასის ზრდა (%), შემოსავლის ზრდის დინამიკა (%), დასაქმებულთა კმაყოფილების ინდექსი ფინანსური სტაბილურობის მიმართ.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AF43D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ხელფასების სტატისტიკა, გამოკითხვები დასაქმებულთა შორის (ანონიმური), ფინანსური ანგარიშები.</w:t>
            </w:r>
          </w:p>
        </w:tc>
      </w:tr>
      <w:tr w:rsidR="00DB6FB2" w:rsidRPr="001A459C" w14:paraId="2E406F97" w14:textId="77777777" w:rsidTr="00DB6FB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893481F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BEEE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დასაქმებული ქალების სოციალური ინტეგრაციის გაძლიერება.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CA378FF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სოციალურ აქტივობებში მონაწილეობის სიხშირე, სოციალური კავშირების რაოდენობა და მრავალფეროვნება, სოციალური იზოლაციის შემცირების ინდექსი.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7B84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გამოკითხვები (სოციალური კავშირების ანალიზი), სოციალური ქსელების მონიტორინგი, ინტერვიუები (ღია კითხვები).</w:t>
            </w:r>
          </w:p>
        </w:tc>
      </w:tr>
      <w:tr w:rsidR="00DB6FB2" w:rsidRPr="001A459C" w14:paraId="0534A1E1" w14:textId="77777777" w:rsidTr="00DB6FB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5B869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B809C10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ახალგაზრდა გოგონების პროფესიული განვითარების ხელშეწყობა.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EFFED5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ტრენინგებსა და სტაჟირებებში მონაწილე გოგონების რაოდენობა (%), დასაქმების მაჩვენებელი (%), პროფესიული უნარების განვითარების ინდექსი.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164E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საწარმოს შიდა მონაცემები, ტრენინგების ანგარიშები, დასაქმების სტატისტიკა, პროფესიული უნარების შეფასების ტესტები.</w:t>
            </w:r>
          </w:p>
        </w:tc>
      </w:tr>
      <w:tr w:rsidR="00DB6FB2" w:rsidRPr="001A459C" w14:paraId="4CDD462F" w14:textId="77777777" w:rsidTr="00DB6FB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2EBCF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5171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ადგილობრივი ეკონომიკის განვითარებაში წვლილის შეტანა.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B7A55D0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ადგილობრივი მომწოდებლებისგან შესყიდვების მოცულობა (%), ადგილობრივი ბაზრის წილი (%), ადგილობრივი მცირე ბიზნესის მხარდაჭერის ინდექსი.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C67C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ფინანსური ანგარიშები, ბაზრის კვლევა, ადგილობრივი ბიზნესის გამოკითხვები.</w:t>
            </w:r>
          </w:p>
        </w:tc>
      </w:tr>
      <w:tr w:rsidR="001A459C" w:rsidRPr="001A459C" w14:paraId="2AC27682" w14:textId="77777777" w:rsidTr="001A4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A4952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3BBD3C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სოციალური პასუხისმგებლობის პოპულარიზაცია საზოგადოებაში.</w:t>
            </w:r>
          </w:p>
        </w:tc>
        <w:tc>
          <w:tcPr>
            <w:tcW w:w="0" w:type="auto"/>
            <w:vAlign w:val="center"/>
            <w:hideMark/>
          </w:tcPr>
          <w:p w14:paraId="12D77699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სოციალური მეწარმეობის შესახებ ცნობადობის ზრდა (%), სხვა კომპანიების სოციალური ინიციატივების რაოდენობა (%), საზოგადოებრივი აზრის ცვლილების ინდექსი.</w:t>
            </w:r>
          </w:p>
        </w:tc>
        <w:tc>
          <w:tcPr>
            <w:tcW w:w="0" w:type="auto"/>
            <w:vAlign w:val="center"/>
            <w:hideMark/>
          </w:tcPr>
          <w:p w14:paraId="6EED9037" w14:textId="77777777" w:rsidR="001A459C" w:rsidRPr="001A459C" w:rsidRDefault="001A459C" w:rsidP="001A459C">
            <w:pPr>
              <w:rPr>
                <w:lang w:val="en-US"/>
              </w:rPr>
            </w:pPr>
            <w:r w:rsidRPr="001A459C">
              <w:rPr>
                <w:lang w:val="en-US"/>
              </w:rPr>
              <w:t>მედია მონიტორინგი, სოციალური ქსელების ანალიზი, გამოკითხვები (საზოგადოებრივი აზრის კვლევა), ინტერვიუები ექსპერტებთან.</w:t>
            </w:r>
          </w:p>
        </w:tc>
      </w:tr>
    </w:tbl>
    <w:p w14:paraId="01491BB1" w14:textId="77777777" w:rsidR="001A459C" w:rsidRPr="001A459C" w:rsidRDefault="001A459C" w:rsidP="001A459C">
      <w:pPr>
        <w:rPr>
          <w:lang w:val="en-US"/>
        </w:rPr>
      </w:pPr>
      <w:r w:rsidRPr="001A459C">
        <w:rPr>
          <w:lang w:val="en-US"/>
        </w:rPr>
        <w:t>Export to Sheets</w:t>
      </w:r>
    </w:p>
    <w:p w14:paraId="6CB80D32" w14:textId="77777777" w:rsidR="001A459C" w:rsidRPr="001A459C" w:rsidRDefault="001A459C" w:rsidP="001A459C">
      <w:pPr>
        <w:rPr>
          <w:lang w:val="en-US"/>
        </w:rPr>
      </w:pPr>
      <w:r w:rsidRPr="001A459C">
        <w:rPr>
          <w:b/>
          <w:bCs/>
          <w:lang w:val="en-US"/>
        </w:rPr>
        <w:t>ძირითადი ცვლილებები:</w:t>
      </w:r>
    </w:p>
    <w:p w14:paraId="6BDF2455" w14:textId="77777777" w:rsidR="001A459C" w:rsidRPr="001A459C" w:rsidRDefault="001A459C" w:rsidP="001A459C">
      <w:pPr>
        <w:numPr>
          <w:ilvl w:val="0"/>
          <w:numId w:val="1"/>
        </w:numPr>
        <w:rPr>
          <w:lang w:val="en-US"/>
        </w:rPr>
      </w:pPr>
      <w:r w:rsidRPr="001A459C">
        <w:rPr>
          <w:b/>
          <w:bCs/>
          <w:lang w:val="en-US"/>
        </w:rPr>
        <w:lastRenderedPageBreak/>
        <w:t>რაოდენობრივი მაჩვენებლების დამატება:</w:t>
      </w:r>
      <w:r w:rsidRPr="001A459C">
        <w:rPr>
          <w:lang w:val="en-US"/>
        </w:rPr>
        <w:t xml:space="preserve"> თითოეული ინდიკატორისთვის დამატებულია პროცენტული მაჩვენებლები ან ინდექსები, რაც უფრო ზუსტ გაზომვას უზრუნველყოფს.</w:t>
      </w:r>
    </w:p>
    <w:p w14:paraId="6A81CF48" w14:textId="77777777" w:rsidR="001A459C" w:rsidRPr="001A459C" w:rsidRDefault="001A459C" w:rsidP="001A459C">
      <w:pPr>
        <w:numPr>
          <w:ilvl w:val="0"/>
          <w:numId w:val="1"/>
        </w:numPr>
        <w:rPr>
          <w:lang w:val="en-US"/>
        </w:rPr>
      </w:pPr>
      <w:r w:rsidRPr="001A459C">
        <w:rPr>
          <w:b/>
          <w:bCs/>
          <w:lang w:val="en-US"/>
        </w:rPr>
        <w:t>დაყოფა და დაზუსტება:</w:t>
      </w:r>
      <w:r w:rsidRPr="001A459C">
        <w:rPr>
          <w:lang w:val="en-US"/>
        </w:rPr>
        <w:t xml:space="preserve"> ინდიკატორები უფრო დეტალურად არის დაყოფილი და დაზუსტებული, მაგალითად, "დასაქმებული ქალების რაოდენობა" დაყოფილია მოწყვლადი ჯგუფების მიხედვით.</w:t>
      </w:r>
    </w:p>
    <w:p w14:paraId="10F9E77C" w14:textId="77777777" w:rsidR="001A459C" w:rsidRPr="001A459C" w:rsidRDefault="001A459C" w:rsidP="001A459C">
      <w:pPr>
        <w:numPr>
          <w:ilvl w:val="0"/>
          <w:numId w:val="1"/>
        </w:numPr>
        <w:rPr>
          <w:lang w:val="en-US"/>
        </w:rPr>
      </w:pPr>
      <w:r w:rsidRPr="001A459C">
        <w:rPr>
          <w:b/>
          <w:bCs/>
          <w:lang w:val="en-US"/>
        </w:rPr>
        <w:t>გაზომვის ინსტრუმენტების დამატება:</w:t>
      </w:r>
      <w:r w:rsidRPr="001A459C">
        <w:rPr>
          <w:lang w:val="en-US"/>
        </w:rPr>
        <w:t xml:space="preserve"> თითოეული ინდიკატორისთვის დამატებულია კონკრეტული გაზომვის ინსტრუმენტები, მაგალითად, "კმაყოფილების ინდექსი ფინანსური სტაბილურობის მიმართ" ან "სოციალური იზოლაციის შემცირების ინდექსი".</w:t>
      </w:r>
    </w:p>
    <w:p w14:paraId="5E3229DB" w14:textId="77777777" w:rsidR="001A459C" w:rsidRPr="001A459C" w:rsidRDefault="001A459C" w:rsidP="001A459C">
      <w:pPr>
        <w:numPr>
          <w:ilvl w:val="0"/>
          <w:numId w:val="1"/>
        </w:numPr>
        <w:rPr>
          <w:lang w:val="en-US"/>
        </w:rPr>
      </w:pPr>
      <w:r w:rsidRPr="001A459C">
        <w:rPr>
          <w:b/>
          <w:bCs/>
          <w:lang w:val="en-US"/>
        </w:rPr>
        <w:t>ინფორმაციის შეგროვების წყაროების დაზუსტება:</w:t>
      </w:r>
      <w:r w:rsidRPr="001A459C">
        <w:rPr>
          <w:lang w:val="en-US"/>
        </w:rPr>
        <w:t xml:space="preserve"> ინფორმაციის შეგროვების წყაროები უფრო დეტალურად არის განსაზღვრული, მაგალითად, "გამოკითხვები" დაზუსტებულია, რომ ანონიმურია და მოიცავს სოციალური კავშირების ანალიზს.</w:t>
      </w:r>
    </w:p>
    <w:p w14:paraId="457C9E09" w14:textId="77777777" w:rsidR="001A459C" w:rsidRPr="001A459C" w:rsidRDefault="001A459C" w:rsidP="001A459C">
      <w:pPr>
        <w:numPr>
          <w:ilvl w:val="0"/>
          <w:numId w:val="1"/>
        </w:numPr>
        <w:rPr>
          <w:lang w:val="en-US"/>
        </w:rPr>
      </w:pPr>
      <w:r w:rsidRPr="001A459C">
        <w:rPr>
          <w:b/>
          <w:bCs/>
          <w:lang w:val="en-US"/>
        </w:rPr>
        <w:t>სოციალური გავლენის გაზომვა:</w:t>
      </w:r>
      <w:r w:rsidRPr="001A459C">
        <w:rPr>
          <w:lang w:val="en-US"/>
        </w:rPr>
        <w:t xml:space="preserve"> დამატებულია ინდიკატორები, რომლებიც ზომავს სოციალურ გავლენას, მაგალითად, "საზოგადოებრივი აზრის ცვლილების ინდექსი".</w:t>
      </w:r>
    </w:p>
    <w:p w14:paraId="58C79330" w14:textId="77777777" w:rsidR="001A459C" w:rsidRPr="001A459C" w:rsidRDefault="001A459C" w:rsidP="001A459C">
      <w:pPr>
        <w:rPr>
          <w:lang w:val="en-US"/>
        </w:rPr>
      </w:pPr>
      <w:r w:rsidRPr="001A459C">
        <w:rPr>
          <w:lang w:val="en-US"/>
        </w:rPr>
        <w:t>ეს ცვლილებები დაგეხმარებათ უფრო ეფექტურად გაზომოთ თქვენი სოციალური საწარმოს სოციალური შედეგები და აჩვენოთ მისი გავლენა საზოგადოებაზე.</w:t>
      </w:r>
    </w:p>
    <w:p w14:paraId="46C6B2EB" w14:textId="77777777" w:rsidR="001A459C" w:rsidRDefault="001A459C"/>
    <w:sectPr w:rsidR="001A4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A4FFC"/>
    <w:multiLevelType w:val="multilevel"/>
    <w:tmpl w:val="64C4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30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0612AD"/>
    <w:rsid w:val="001A459C"/>
    <w:rsid w:val="00401AF6"/>
    <w:rsid w:val="004A7903"/>
    <w:rsid w:val="004D2EF7"/>
    <w:rsid w:val="0050580A"/>
    <w:rsid w:val="005C0A6D"/>
    <w:rsid w:val="00732852"/>
    <w:rsid w:val="00BC155F"/>
    <w:rsid w:val="00BC21FF"/>
    <w:rsid w:val="00D50946"/>
    <w:rsid w:val="00DB6FB2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2025-03-31T12:17:00Z</dcterms:created>
  <dcterms:modified xsi:type="dcterms:W3CDTF">2025-03-31T12:17:00Z</dcterms:modified>
</cp:coreProperties>
</file>